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8DE" w14:textId="6ACD4CFC" w:rsidR="005F18BF" w:rsidRPr="0075254B" w:rsidRDefault="00822456">
      <w:pPr>
        <w:rPr>
          <w:b/>
          <w:bCs/>
          <w:color w:val="156082" w:themeColor="accent1"/>
          <w:sz w:val="32"/>
          <w:szCs w:val="32"/>
        </w:rPr>
      </w:pPr>
      <w:r w:rsidRPr="0075254B">
        <w:rPr>
          <w:b/>
          <w:bCs/>
          <w:color w:val="156082" w:themeColor="accent1"/>
          <w:sz w:val="32"/>
          <w:szCs w:val="32"/>
        </w:rPr>
        <w:t>PLAN FOR LEGEVAKTEN</w:t>
      </w:r>
      <w:r w:rsidR="0075254B">
        <w:rPr>
          <w:b/>
          <w:bCs/>
          <w:color w:val="156082" w:themeColor="accent1"/>
          <w:sz w:val="32"/>
          <w:szCs w:val="32"/>
        </w:rPr>
        <w:t xml:space="preserve"> i DØNNA KOMMUNE</w:t>
      </w:r>
    </w:p>
    <w:p w14:paraId="0D907A6E" w14:textId="77777777" w:rsidR="005F18BF" w:rsidRDefault="005F18BF"/>
    <w:p w14:paraId="1E94CB6B" w14:textId="459FC95E" w:rsidR="005F18BF" w:rsidRPr="00E25D8C" w:rsidRDefault="005F18BF">
      <w:pPr>
        <w:rPr>
          <w:sz w:val="20"/>
          <w:szCs w:val="20"/>
        </w:rPr>
      </w:pPr>
      <w:r w:rsidRPr="00E25D8C">
        <w:rPr>
          <w:sz w:val="20"/>
          <w:szCs w:val="20"/>
        </w:rPr>
        <w:t xml:space="preserve">Dønna </w:t>
      </w:r>
      <w:r w:rsidR="00822456" w:rsidRPr="00E25D8C">
        <w:rPr>
          <w:sz w:val="20"/>
          <w:szCs w:val="20"/>
        </w:rPr>
        <w:t xml:space="preserve">kommunale </w:t>
      </w:r>
      <w:r w:rsidRPr="00E25D8C">
        <w:rPr>
          <w:sz w:val="20"/>
          <w:szCs w:val="20"/>
        </w:rPr>
        <w:t>legevakt har legevaktsamarbeid med Herøy kommune.</w:t>
      </w:r>
    </w:p>
    <w:p w14:paraId="2F0D0D95" w14:textId="511A056F" w:rsidR="005F18BF" w:rsidRPr="00E25D8C" w:rsidRDefault="005F18BF">
      <w:pPr>
        <w:rPr>
          <w:sz w:val="20"/>
          <w:szCs w:val="20"/>
        </w:rPr>
      </w:pPr>
      <w:r w:rsidRPr="00E25D8C">
        <w:rPr>
          <w:sz w:val="20"/>
          <w:szCs w:val="20"/>
        </w:rPr>
        <w:t>Kommunene er tilknyttet AM</w:t>
      </w:r>
      <w:r w:rsidR="001020F0" w:rsidRPr="00E25D8C">
        <w:rPr>
          <w:sz w:val="20"/>
          <w:szCs w:val="20"/>
        </w:rPr>
        <w:t>K</w:t>
      </w:r>
      <w:r w:rsidRPr="00E25D8C">
        <w:rPr>
          <w:sz w:val="20"/>
          <w:szCs w:val="20"/>
        </w:rPr>
        <w:t xml:space="preserve"> sentralen i ved Sandnessjøen sykehus for formidlingstjeneste. Det vil si at når befolkningen ringer 116117, kommer de til Legevaktformidlingen i Sandnessjøen.</w:t>
      </w:r>
    </w:p>
    <w:p w14:paraId="487FABD9" w14:textId="21566A65" w:rsidR="005F18BF" w:rsidRPr="00E25D8C" w:rsidRDefault="005F18BF">
      <w:pPr>
        <w:rPr>
          <w:sz w:val="20"/>
          <w:szCs w:val="20"/>
        </w:rPr>
      </w:pPr>
      <w:r w:rsidRPr="00E25D8C">
        <w:rPr>
          <w:sz w:val="20"/>
          <w:szCs w:val="20"/>
        </w:rPr>
        <w:t>Der blir det utført en hastegradsvurdering som skal avgjøre om innringer skal meldes videre til legevakt i den enkelte kommune. Det hender også at det kun gis råd av sentralen og ikke settes i kontakt med legen.</w:t>
      </w:r>
    </w:p>
    <w:p w14:paraId="25EC9156" w14:textId="19BDE045" w:rsidR="005F18BF" w:rsidRPr="00E25D8C" w:rsidRDefault="005F18BF">
      <w:pPr>
        <w:rPr>
          <w:sz w:val="20"/>
          <w:szCs w:val="20"/>
        </w:rPr>
      </w:pPr>
      <w:r w:rsidRPr="00E25D8C">
        <w:rPr>
          <w:sz w:val="20"/>
          <w:szCs w:val="20"/>
        </w:rPr>
        <w:t xml:space="preserve">Ved behov for legehjelp settes pasienten i kontakt med legevaktslege ved at legen får en melding på </w:t>
      </w:r>
      <w:proofErr w:type="spellStart"/>
      <w:r w:rsidRPr="00E25D8C">
        <w:rPr>
          <w:sz w:val="20"/>
          <w:szCs w:val="20"/>
        </w:rPr>
        <w:t>locus</w:t>
      </w:r>
      <w:proofErr w:type="spellEnd"/>
      <w:r w:rsidRPr="00E25D8C">
        <w:rPr>
          <w:sz w:val="20"/>
          <w:szCs w:val="20"/>
        </w:rPr>
        <w:t>. Legen kontakter da pasienten for avtale om oppmøte. Dersom det er akutt settes legen i kontakt umiddelbart.</w:t>
      </w:r>
    </w:p>
    <w:p w14:paraId="7D501245" w14:textId="77777777" w:rsidR="00712B48" w:rsidRDefault="00712B48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>Legevakten åpner i ukedagene kl. 15:00 og varer til neste dag 08:00.</w:t>
      </w:r>
    </w:p>
    <w:p w14:paraId="03D9E685" w14:textId="77777777" w:rsidR="00712B48" w:rsidRDefault="00712B48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>I helger og høytid er det døgnkontinuerlig drift.</w:t>
      </w:r>
    </w:p>
    <w:p w14:paraId="596D1CC2" w14:textId="18183AB0" w:rsidR="00712B48" w:rsidRDefault="00712B48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På dagtid </w:t>
      </w:r>
      <w:r w:rsidR="00AD25B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deler legene på øyeblikkelig hjelpfunksjonen. Den som først er </w:t>
      </w:r>
      <w:proofErr w:type="gramStart"/>
      <w:r w:rsidR="00AD25B8">
        <w:rPr>
          <w:rFonts w:ascii="Calibri" w:eastAsia="Calibri" w:hAnsi="Calibri" w:cs="Calibri"/>
          <w:color w:val="000000" w:themeColor="text1"/>
          <w:sz w:val="20"/>
          <w:szCs w:val="20"/>
        </w:rPr>
        <w:t>ledig</w:t>
      </w:r>
      <w:proofErr w:type="gramEnd"/>
      <w:r w:rsidR="00AD25B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tar det som kommer.</w:t>
      </w:r>
    </w:p>
    <w:p w14:paraId="5CDD984D" w14:textId="77777777" w:rsidR="00AD25B8" w:rsidRDefault="00AD25B8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5F5288" w14:textId="25871647" w:rsidR="00E6307E" w:rsidRDefault="00E6307E" w:rsidP="00E6307E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Det er til sammen </w:t>
      </w:r>
      <w:r w:rsidR="0003245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 leger i legevakten </w:t>
      </w:r>
      <w:r w:rsidR="007B293E">
        <w:rPr>
          <w:rFonts w:ascii="Calibri" w:eastAsia="Calibri" w:hAnsi="Calibri" w:cs="Calibri"/>
          <w:color w:val="000000" w:themeColor="text1"/>
          <w:sz w:val="20"/>
          <w:szCs w:val="20"/>
        </w:rPr>
        <w:t>(Dønna og Herøy kommune)</w:t>
      </w:r>
      <w:r w:rsidR="000E6A4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03245C">
        <w:rPr>
          <w:rFonts w:ascii="Calibri" w:eastAsia="Calibri" w:hAnsi="Calibri" w:cs="Calibri"/>
          <w:color w:val="000000" w:themeColor="text1"/>
          <w:sz w:val="20"/>
          <w:szCs w:val="20"/>
        </w:rPr>
        <w:t>som deler på annenhver dag og annenhver helg</w:t>
      </w:r>
      <w:r w:rsidR="007B293E">
        <w:rPr>
          <w:rFonts w:ascii="Calibri" w:eastAsia="Calibri" w:hAnsi="Calibri" w:cs="Calibri"/>
          <w:color w:val="000000" w:themeColor="text1"/>
          <w:sz w:val="20"/>
          <w:szCs w:val="20"/>
        </w:rPr>
        <w:t>. Av disse er vanligvis 2 LIS1 lege.</w:t>
      </w:r>
    </w:p>
    <w:p w14:paraId="6B2FABDF" w14:textId="5098E6E9" w:rsidR="00E6307E" w:rsidRDefault="00E6307E" w:rsidP="00E6307E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A914A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 gjennomsnitt går legene </w:t>
      </w:r>
      <w:r w:rsidR="000E6A41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7A914A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vakt per u</w:t>
      </w:r>
      <w:r w:rsidR="000E6A41">
        <w:rPr>
          <w:rFonts w:ascii="Calibri" w:eastAsia="Calibri" w:hAnsi="Calibri" w:cs="Calibri"/>
          <w:color w:val="000000" w:themeColor="text1"/>
          <w:sz w:val="20"/>
          <w:szCs w:val="20"/>
        </w:rPr>
        <w:t>ke.</w:t>
      </w:r>
    </w:p>
    <w:p w14:paraId="48CEA7C9" w14:textId="7BA447C2" w:rsidR="00E6307E" w:rsidRDefault="000E6A41" w:rsidP="00E6307E">
      <w:pPr>
        <w:widowControl w:val="0"/>
        <w:spacing w:after="20"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Legene </w:t>
      </w:r>
      <w:r w:rsidR="00E6307E" w:rsidRPr="7A914AFB">
        <w:rPr>
          <w:rFonts w:ascii="Calibri" w:eastAsia="Calibri" w:hAnsi="Calibri" w:cs="Calibri"/>
          <w:color w:val="000000" w:themeColor="text1"/>
          <w:sz w:val="20"/>
          <w:szCs w:val="20"/>
        </w:rPr>
        <w:t>er fast ansatt</w:t>
      </w:r>
      <w:r w:rsidR="007905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av kommunen</w:t>
      </w:r>
      <w:r w:rsidR="00E6307E" w:rsidRPr="7A914A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på dagtid, </w:t>
      </w:r>
      <w:r w:rsidR="00E6307E" w:rsidRPr="7A914A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mens legevaktslegene arbeider </w:t>
      </w:r>
      <w:r w:rsidR="0079052D">
        <w:rPr>
          <w:rFonts w:ascii="Calibri" w:eastAsia="Calibri" w:hAnsi="Calibri" w:cs="Calibri"/>
          <w:color w:val="000000" w:themeColor="text1"/>
          <w:sz w:val="20"/>
          <w:szCs w:val="20"/>
        </w:rPr>
        <w:t>som selvstendig næringsdrivende</w:t>
      </w:r>
      <w:r w:rsidR="00E6307E" w:rsidRPr="7A914A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utenom sin fastlegejobb</w:t>
      </w:r>
      <w:r w:rsidR="0079052D">
        <w:rPr>
          <w:rFonts w:ascii="Calibri" w:eastAsia="Calibri" w:hAnsi="Calibri" w:cs="Calibri"/>
          <w:color w:val="000000" w:themeColor="text1"/>
          <w:sz w:val="20"/>
          <w:szCs w:val="20"/>
        </w:rPr>
        <w:t>, og mottar da kun et beredskaps</w:t>
      </w:r>
      <w:r w:rsidR="00AF4A4C">
        <w:rPr>
          <w:rFonts w:ascii="Calibri" w:eastAsia="Calibri" w:hAnsi="Calibri" w:cs="Calibri"/>
          <w:color w:val="000000" w:themeColor="text1"/>
          <w:sz w:val="20"/>
          <w:szCs w:val="20"/>
        </w:rPr>
        <w:t>tillegg fra kommune.</w:t>
      </w:r>
    </w:p>
    <w:p w14:paraId="0A0898DB" w14:textId="77777777" w:rsidR="000E6A41" w:rsidRDefault="000E6A41" w:rsidP="00E6307E">
      <w:pPr>
        <w:widowControl w:val="0"/>
        <w:spacing w:after="20"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1C7CCAD" w14:textId="77777777" w:rsidR="00041B5D" w:rsidRDefault="00041B5D" w:rsidP="00041B5D">
      <w:pPr>
        <w:widowControl w:val="0"/>
        <w:spacing w:after="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>Per i dag innehar alle legene det kompetansekravet som skal til for å jobbe selvstendig på legevakt.</w:t>
      </w:r>
    </w:p>
    <w:p w14:paraId="0903C0BF" w14:textId="3989270F" w:rsidR="00041B5D" w:rsidRDefault="00041B5D" w:rsidP="00041B5D">
      <w:pPr>
        <w:widowControl w:val="0"/>
        <w:spacing w:after="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LIS1-legene (tidligere kalt turnusleger) må ha trygghetsvakt tilgjengelig på </w:t>
      </w:r>
      <w:r w:rsidR="0081293E">
        <w:rPr>
          <w:rFonts w:ascii="Calibri" w:eastAsia="Calibri" w:hAnsi="Calibri" w:cs="Calibri"/>
          <w:color w:val="000000" w:themeColor="text1"/>
          <w:sz w:val="20"/>
          <w:szCs w:val="20"/>
        </w:rPr>
        <w:t>vakt.</w:t>
      </w:r>
    </w:p>
    <w:p w14:paraId="57120D6B" w14:textId="77777777" w:rsidR="005C714D" w:rsidRDefault="005C714D" w:rsidP="00041B5D">
      <w:pPr>
        <w:widowControl w:val="0"/>
        <w:spacing w:after="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F45B69" w14:textId="77777777" w:rsidR="005C714D" w:rsidRDefault="005C714D" w:rsidP="00041B5D">
      <w:pPr>
        <w:widowControl w:val="0"/>
        <w:spacing w:after="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3639327" w14:textId="2890A398" w:rsidR="005C714D" w:rsidRPr="00AF4A4C" w:rsidRDefault="005C714D" w:rsidP="005C714D">
      <w:pPr>
        <w:widowControl w:val="0"/>
        <w:spacing w:after="20" w:line="257" w:lineRule="auto"/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</w:pPr>
      <w:r w:rsidRPr="00AF4A4C"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  <w:t xml:space="preserve">Det er </w:t>
      </w:r>
      <w:r w:rsidR="00AC4B4B" w:rsidRPr="00AF4A4C"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  <w:t xml:space="preserve">en </w:t>
      </w:r>
      <w:r w:rsidRPr="00AF4A4C"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  <w:t xml:space="preserve">ambulanse og båt i legevaktdistriktet som bidrar til å sikre tilgjengelighet til akutt helsehjelp.  </w:t>
      </w:r>
    </w:p>
    <w:p w14:paraId="6E1107FF" w14:textId="435219FD" w:rsidR="005C714D" w:rsidRPr="00AF4A4C" w:rsidRDefault="005C714D" w:rsidP="005C714D">
      <w:pPr>
        <w:widowControl w:val="0"/>
        <w:spacing w:after="20" w:line="257" w:lineRule="auto"/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</w:pPr>
      <w:r w:rsidRPr="00AF4A4C"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  <w:t>Vi har også egen uniformert legebil</w:t>
      </w:r>
      <w:r w:rsidR="00CF26DA" w:rsidRPr="00AF4A4C">
        <w:rPr>
          <w:rFonts w:ascii="Calibri" w:eastAsia="Calibri" w:hAnsi="Calibri" w:cs="Calibri"/>
          <w:i/>
          <w:iCs/>
          <w:color w:val="4C94D8" w:themeColor="text2" w:themeTint="80"/>
          <w:sz w:val="20"/>
          <w:szCs w:val="20"/>
        </w:rPr>
        <w:t xml:space="preserve"> som brukes av legevaktslegen.</w:t>
      </w:r>
    </w:p>
    <w:p w14:paraId="644763AD" w14:textId="77777777" w:rsidR="00041B5D" w:rsidRDefault="00041B5D" w:rsidP="00E6307E">
      <w:pPr>
        <w:widowControl w:val="0"/>
        <w:spacing w:after="20"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38ECDEB" w14:textId="77777777" w:rsidR="00AC4B4B" w:rsidRPr="00E25D8C" w:rsidRDefault="00AC4B4B" w:rsidP="00AC4B4B">
      <w:pPr>
        <w:pStyle w:val="paragraph"/>
        <w:spacing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E25D8C">
        <w:rPr>
          <w:rStyle w:val="normaltextrun"/>
          <w:rFonts w:asciiTheme="minorHAnsi" w:eastAsiaTheme="minorEastAsia" w:hAnsiTheme="minorHAnsi" w:cstheme="minorBidi"/>
          <w:b/>
          <w:bCs/>
          <w:color w:val="000000"/>
          <w:position w:val="2"/>
        </w:rPr>
        <w:t>Utfordringer</w:t>
      </w:r>
      <w:r w:rsidRPr="00E25D8C">
        <w:rPr>
          <w:rStyle w:val="eop"/>
          <w:rFonts w:asciiTheme="minorHAnsi" w:eastAsiaTheme="minorEastAsia" w:hAnsiTheme="minorHAnsi" w:cstheme="minorBidi"/>
          <w:b/>
          <w:bCs/>
        </w:rPr>
        <w:t xml:space="preserve">​: </w:t>
      </w:r>
    </w:p>
    <w:p w14:paraId="687E6485" w14:textId="77777777" w:rsidR="00AC4B4B" w:rsidRDefault="00AC4B4B" w:rsidP="00AC4B4B">
      <w:pPr>
        <w:pStyle w:val="paragraph"/>
        <w:spacing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53E32C57" w14:textId="77777777" w:rsidR="00AC4B4B" w:rsidRDefault="00AC4B4B" w:rsidP="00AC4B4B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sz w:val="20"/>
          <w:szCs w:val="20"/>
        </w:rPr>
        <w:t>Fastlegene deltar i legevakt utenom legekontorets åpningstid (hverdager 1500-0800 og helger samt høytider).</w:t>
      </w:r>
    </w:p>
    <w:p w14:paraId="4D28E045" w14:textId="6B0B20DC" w:rsidR="00AC4B4B" w:rsidRDefault="00AC4B4B" w:rsidP="00AC4B4B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sz w:val="20"/>
          <w:szCs w:val="20"/>
        </w:rPr>
        <w:t xml:space="preserve">På legevakt er man selvstendignæringsdrivende fra </w:t>
      </w:r>
      <w:proofErr w:type="gramStart"/>
      <w:r w:rsidRPr="2F14628E">
        <w:rPr>
          <w:rFonts w:asciiTheme="minorHAnsi" w:eastAsiaTheme="minorEastAsia" w:hAnsiTheme="minorHAnsi" w:cstheme="minorBidi"/>
          <w:sz w:val="20"/>
          <w:szCs w:val="20"/>
        </w:rPr>
        <w:t>1500  til</w:t>
      </w:r>
      <w:proofErr w:type="gramEnd"/>
      <w:r w:rsidRPr="2F14628E">
        <w:rPr>
          <w:rFonts w:asciiTheme="minorHAnsi" w:eastAsiaTheme="minorEastAsia" w:hAnsiTheme="minorHAnsi" w:cstheme="minorBidi"/>
          <w:sz w:val="20"/>
          <w:szCs w:val="20"/>
        </w:rPr>
        <w:t xml:space="preserve"> klokken </w:t>
      </w:r>
      <w:r>
        <w:rPr>
          <w:rFonts w:asciiTheme="minorHAnsi" w:eastAsiaTheme="minorEastAsia" w:hAnsiTheme="minorHAnsi" w:cstheme="minorBidi"/>
          <w:sz w:val="20"/>
          <w:szCs w:val="20"/>
        </w:rPr>
        <w:t>08</w:t>
      </w:r>
      <w:r w:rsidR="000B0CD1">
        <w:rPr>
          <w:rFonts w:asciiTheme="minorHAnsi" w:eastAsiaTheme="minorEastAsia" w:hAnsiTheme="minorHAnsi" w:cstheme="minorBidi"/>
          <w:sz w:val="20"/>
          <w:szCs w:val="20"/>
        </w:rPr>
        <w:t xml:space="preserve"> påfølgende dag.</w:t>
      </w:r>
      <w:r w:rsidRPr="2F1462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43088AA" w14:textId="36A226F3" w:rsidR="00AC4B4B" w:rsidRDefault="00AC4B4B" w:rsidP="00AC4B4B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sz w:val="20"/>
          <w:szCs w:val="20"/>
        </w:rPr>
        <w:t xml:space="preserve">Legene har rett til fri dagen etter </w:t>
      </w:r>
      <w:r w:rsidR="000B0CD1">
        <w:rPr>
          <w:rFonts w:asciiTheme="minorHAnsi" w:eastAsiaTheme="minorEastAsia" w:hAnsiTheme="minorHAnsi" w:cstheme="minorBidi"/>
          <w:sz w:val="20"/>
          <w:szCs w:val="20"/>
        </w:rPr>
        <w:t>vakt dersom det har vært hek</w:t>
      </w:r>
      <w:r w:rsidR="00E25D8C">
        <w:rPr>
          <w:rFonts w:asciiTheme="minorHAnsi" w:eastAsiaTheme="minorEastAsia" w:hAnsiTheme="minorHAnsi" w:cstheme="minorBidi"/>
          <w:sz w:val="20"/>
          <w:szCs w:val="20"/>
        </w:rPr>
        <w:t>t</w:t>
      </w:r>
      <w:r w:rsidR="000B0CD1">
        <w:rPr>
          <w:rFonts w:asciiTheme="minorHAnsi" w:eastAsiaTheme="minorEastAsia" w:hAnsiTheme="minorHAnsi" w:cstheme="minorBidi"/>
          <w:sz w:val="20"/>
          <w:szCs w:val="20"/>
        </w:rPr>
        <w:t xml:space="preserve">isk. Dette vurderes etter hver vakt, men settes opp pasienter fra </w:t>
      </w:r>
      <w:proofErr w:type="spellStart"/>
      <w:r w:rsidR="000B0CD1">
        <w:rPr>
          <w:rFonts w:asciiTheme="minorHAnsi" w:eastAsiaTheme="minorEastAsia" w:hAnsiTheme="minorHAnsi" w:cstheme="minorBidi"/>
          <w:sz w:val="20"/>
          <w:szCs w:val="20"/>
        </w:rPr>
        <w:t>kl</w:t>
      </w:r>
      <w:proofErr w:type="spellEnd"/>
      <w:r w:rsidR="000B0CD1">
        <w:rPr>
          <w:rFonts w:asciiTheme="minorHAnsi" w:eastAsiaTheme="minorEastAsia" w:hAnsiTheme="minorHAnsi" w:cstheme="minorBidi"/>
          <w:sz w:val="20"/>
          <w:szCs w:val="20"/>
        </w:rPr>
        <w:t xml:space="preserve"> 11 slik at legen kan hvile</w:t>
      </w:r>
      <w:r w:rsidR="00E25D8C">
        <w:rPr>
          <w:rFonts w:asciiTheme="minorHAnsi" w:eastAsiaTheme="minorEastAsia" w:hAnsiTheme="minorHAnsi" w:cstheme="minorBidi"/>
          <w:sz w:val="20"/>
          <w:szCs w:val="20"/>
        </w:rPr>
        <w:t xml:space="preserve"> litt før oppstart.</w:t>
      </w:r>
      <w:r w:rsidR="000B0CD1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3EEEB748" w14:textId="77777777" w:rsidR="00E25D8C" w:rsidRDefault="00E25D8C" w:rsidP="00AC4B4B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</w:p>
    <w:p w14:paraId="6DC81B0E" w14:textId="05BD017C" w:rsidR="00AC4B4B" w:rsidRDefault="00AC4B4B" w:rsidP="00AC4B4B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sz w:val="20"/>
          <w:szCs w:val="20"/>
        </w:rPr>
        <w:t xml:space="preserve">Legevakt kommer i tillegg til andre legeoppgaver, og stor vaktbelastning påvirker den totale jobbtilfredsheten negativt. </w:t>
      </w:r>
    </w:p>
    <w:p w14:paraId="30C2D9D4" w14:textId="77777777" w:rsidR="00AC4B4B" w:rsidRDefault="00AC4B4B" w:rsidP="00AC4B4B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sz w:val="20"/>
          <w:szCs w:val="20"/>
        </w:rPr>
        <w:t>Sliten legevaktslege skaper økt risiko for feilvurderinger og uforsvarlig helsehjelp.</w:t>
      </w:r>
    </w:p>
    <w:p w14:paraId="3E2B69AA" w14:textId="77777777" w:rsidR="00AC4B4B" w:rsidRDefault="00AC4B4B" w:rsidP="00AC4B4B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</w:p>
    <w:p w14:paraId="50A69F7C" w14:textId="77777777" w:rsidR="000C73E0" w:rsidRDefault="000C73E0" w:rsidP="00AC4B4B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</w:p>
    <w:p w14:paraId="23413F60" w14:textId="77777777" w:rsidR="000C73E0" w:rsidRDefault="000C73E0" w:rsidP="000C73E0">
      <w:pPr>
        <w:pStyle w:val="paragraph"/>
        <w:spacing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7A914AFB">
        <w:rPr>
          <w:rFonts w:asciiTheme="minorHAnsi" w:eastAsiaTheme="minorEastAsia" w:hAnsiTheme="minorHAnsi" w:cstheme="minorBidi"/>
          <w:sz w:val="20"/>
          <w:szCs w:val="20"/>
        </w:rPr>
        <w:t xml:space="preserve">Vaktbelastningen avhenger av hvor mange leger som til enhver tid går vakt, som vil variere med hvor mange av legene som vaktfritak av ulike grunner (sykdom, graviditet, alder </w:t>
      </w:r>
      <w:proofErr w:type="spellStart"/>
      <w:r w:rsidRPr="7A914AFB">
        <w:rPr>
          <w:rFonts w:asciiTheme="minorHAnsi" w:eastAsiaTheme="minorEastAsia" w:hAnsiTheme="minorHAnsi" w:cstheme="minorBidi"/>
          <w:sz w:val="20"/>
          <w:szCs w:val="20"/>
        </w:rPr>
        <w:t>etc</w:t>
      </w:r>
      <w:proofErr w:type="spellEnd"/>
      <w:r w:rsidRPr="7A914AFB">
        <w:rPr>
          <w:rFonts w:asciiTheme="minorHAnsi" w:eastAsiaTheme="minorEastAsia" w:hAnsiTheme="minorHAnsi" w:cstheme="minorBidi"/>
          <w:sz w:val="20"/>
          <w:szCs w:val="20"/>
        </w:rPr>
        <w:t>) og hvor mange av legene som ønsker å gå mer eller mindre vakter.</w:t>
      </w:r>
    </w:p>
    <w:p w14:paraId="3F00310C" w14:textId="77777777" w:rsidR="005F6B1E" w:rsidRDefault="005F6B1E" w:rsidP="005F6B1E">
      <w:pPr>
        <w:widowControl w:val="0"/>
        <w:spacing w:after="0"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09A9569" w14:textId="02BA4546" w:rsidR="005F6B1E" w:rsidRDefault="005F6B1E" w:rsidP="005F6B1E">
      <w:pPr>
        <w:widowControl w:val="0"/>
        <w:spacing w:after="0" w:line="257" w:lineRule="auto"/>
        <w:rPr>
          <w:rFonts w:ascii="Calibri" w:eastAsia="Calibri" w:hAnsi="Calibri" w:cs="Calibri"/>
          <w:color w:val="156082" w:themeColor="accent1"/>
          <w:sz w:val="20"/>
          <w:szCs w:val="20"/>
        </w:rPr>
      </w:pPr>
      <w:r w:rsidRPr="2F14628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Avlønning med beredskapstillegg (per 2023 - 180 kr./timen) og takster gir varierende inntekt og uforutsigbarhet for vikaren. </w:t>
      </w:r>
      <w:r w:rsidRPr="2F14628E">
        <w:rPr>
          <w:rFonts w:ascii="Calibri" w:eastAsia="Calibri" w:hAnsi="Calibri" w:cs="Calibri"/>
          <w:sz w:val="20"/>
          <w:szCs w:val="20"/>
        </w:rPr>
        <w:t xml:space="preserve">Avlønningsformen kan også bidra til at hensyn til inntekt påvirker legens beslutninger for </w:t>
      </w:r>
      <w:r w:rsidRPr="2F14628E">
        <w:rPr>
          <w:rFonts w:ascii="Calibri" w:eastAsia="Calibri" w:hAnsi="Calibri" w:cs="Calibri"/>
          <w:sz w:val="20"/>
          <w:szCs w:val="20"/>
        </w:rPr>
        <w:lastRenderedPageBreak/>
        <w:t xml:space="preserve">prioritering og behandling. </w:t>
      </w:r>
    </w:p>
    <w:p w14:paraId="1724ED85" w14:textId="76A8F5D1" w:rsidR="001F1CAD" w:rsidRDefault="00226751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156082" w:themeColor="accent1"/>
          <w:sz w:val="20"/>
          <w:szCs w:val="20"/>
        </w:rPr>
      </w:pPr>
      <w:r w:rsidRPr="00226751">
        <w:rPr>
          <w:rFonts w:ascii="Calibri" w:eastAsia="Calibri" w:hAnsi="Calibri" w:cs="Calibri"/>
          <w:color w:val="156082" w:themeColor="accent1"/>
          <w:sz w:val="20"/>
          <w:szCs w:val="20"/>
        </w:rPr>
        <w:t>Pr i dag ans</w:t>
      </w:r>
      <w:r>
        <w:rPr>
          <w:rFonts w:ascii="Calibri" w:eastAsia="Calibri" w:hAnsi="Calibri" w:cs="Calibri"/>
          <w:color w:val="156082" w:themeColor="accent1"/>
          <w:sz w:val="20"/>
          <w:szCs w:val="20"/>
        </w:rPr>
        <w:t>e</w:t>
      </w:r>
      <w:r w:rsidRPr="00226751">
        <w:rPr>
          <w:rFonts w:ascii="Calibri" w:eastAsia="Calibri" w:hAnsi="Calibri" w:cs="Calibri"/>
          <w:color w:val="156082" w:themeColor="accent1"/>
          <w:sz w:val="20"/>
          <w:szCs w:val="20"/>
        </w:rPr>
        <w:t>es vaktbelastningen i kommunen som stor.</w:t>
      </w:r>
    </w:p>
    <w:p w14:paraId="329CCF8E" w14:textId="77777777" w:rsidR="00226751" w:rsidRDefault="00226751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D06F705" w14:textId="1B8AFD0C" w:rsidR="00226751" w:rsidRDefault="00226751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Dønna kommune vurdere å </w:t>
      </w:r>
      <w:r w:rsidR="00A043A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søke etter en kommunelege 3. Dette for å bistå med en ekstra lege på legevakt, samt </w:t>
      </w:r>
      <w:r w:rsidR="00213CD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 å bidra til å ta unna på dagtid slik at man får mulighet til å gjøre andre </w:t>
      </w:r>
      <w:proofErr w:type="spellStart"/>
      <w:proofErr w:type="gramStart"/>
      <w:r w:rsidR="00213CD6">
        <w:rPr>
          <w:rFonts w:ascii="Calibri" w:eastAsia="Calibri" w:hAnsi="Calibri" w:cs="Calibri"/>
          <w:color w:val="000000" w:themeColor="text1"/>
          <w:sz w:val="20"/>
          <w:szCs w:val="20"/>
        </w:rPr>
        <w:t>lege</w:t>
      </w:r>
      <w:r w:rsidR="00954B87">
        <w:rPr>
          <w:rFonts w:ascii="Calibri" w:eastAsia="Calibri" w:hAnsi="Calibri" w:cs="Calibri"/>
          <w:color w:val="000000" w:themeColor="text1"/>
          <w:sz w:val="20"/>
          <w:szCs w:val="20"/>
        </w:rPr>
        <w:t>oppgaver.</w:t>
      </w:r>
      <w:r w:rsidR="0079052D">
        <w:rPr>
          <w:rFonts w:ascii="Calibri" w:eastAsia="Calibri" w:hAnsi="Calibri" w:cs="Calibri"/>
          <w:color w:val="000000" w:themeColor="text1"/>
          <w:sz w:val="20"/>
          <w:szCs w:val="20"/>
        </w:rPr>
        <w:t>Det</w:t>
      </w:r>
      <w:proofErr w:type="spellEnd"/>
      <w:proofErr w:type="gramEnd"/>
      <w:r w:rsidR="007905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bør tilstrebes at legevaktslegen kan ha fri dagen etter vakt, spesielt helgevakt.</w:t>
      </w:r>
    </w:p>
    <w:p w14:paraId="75B8D54E" w14:textId="77777777" w:rsidR="00696F98" w:rsidRDefault="00696F98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0B0F0"/>
          <w:sz w:val="20"/>
          <w:szCs w:val="20"/>
        </w:rPr>
      </w:pPr>
    </w:p>
    <w:p w14:paraId="7E4A99A1" w14:textId="7CDE42E2" w:rsidR="00696F98" w:rsidRDefault="00696F98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0B0F0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color w:val="00B0F0"/>
          <w:sz w:val="20"/>
          <w:szCs w:val="20"/>
        </w:rPr>
        <w:t xml:space="preserve">Fra alle landets kommuner meldes det om kapasitetsutfordringer i fastlegeordningen, og kommunene har store utfordringer med å rekruttere og beholde fastleger. </w:t>
      </w:r>
    </w:p>
    <w:p w14:paraId="0EF4AAC1" w14:textId="77777777" w:rsidR="00696F98" w:rsidRDefault="00696F98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0B0F0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color w:val="00B0F0"/>
          <w:sz w:val="20"/>
          <w:szCs w:val="20"/>
        </w:rPr>
        <w:t>Flere steder rammer bemanningsutfordringene i fastlegeordningen andre kommunale legetjenester som legevakt, helsestasjon og sykehjem.</w:t>
      </w:r>
    </w:p>
    <w:p w14:paraId="5B476BEE" w14:textId="77777777" w:rsidR="00696F98" w:rsidRDefault="00696F98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0B0F0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color w:val="00B0F0"/>
          <w:sz w:val="20"/>
          <w:szCs w:val="20"/>
        </w:rPr>
        <w:t xml:space="preserve">Det er grunn til å forvente at det kan bli vanskelig å dekke behovet for nye fastleger i tiden fremover. </w:t>
      </w:r>
    </w:p>
    <w:p w14:paraId="5E045DAE" w14:textId="77777777" w:rsidR="00696F98" w:rsidRDefault="00696F98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0B0F0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color w:val="00B0F0"/>
          <w:sz w:val="20"/>
          <w:szCs w:val="20"/>
        </w:rPr>
        <w:t xml:space="preserve">Den vanskelige situasjonen knyttet til rekruttering nasjonalt, forverres ytterligere ved at kommunene konkurrerer med hverandre. </w:t>
      </w:r>
    </w:p>
    <w:p w14:paraId="688ABC57" w14:textId="77777777" w:rsidR="00696F98" w:rsidRDefault="00696F98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  <w:r w:rsidRPr="2F14628E">
        <w:rPr>
          <w:rFonts w:asciiTheme="minorHAnsi" w:eastAsiaTheme="minorEastAsia" w:hAnsiTheme="minorHAnsi" w:cstheme="minorBidi"/>
          <w:color w:val="00B0F0"/>
          <w:sz w:val="20"/>
          <w:szCs w:val="20"/>
        </w:rPr>
        <w:t xml:space="preserve">Det at kommuner overbyr hverandre er et kortsiktige grep som ikke nødvendigvis gir hverken bedring eller mer stabilitet i allmennlegetjenesten, og forventes heller ikke å være bærekraftig over tid. </w:t>
      </w:r>
      <w:r w:rsidRPr="2F14628E"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  <w:t xml:space="preserve"> </w:t>
      </w:r>
    </w:p>
    <w:p w14:paraId="48E8DA87" w14:textId="77777777" w:rsidR="0075254B" w:rsidRDefault="0075254B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</w:p>
    <w:p w14:paraId="2C32664F" w14:textId="77777777" w:rsidR="0075254B" w:rsidRDefault="0075254B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</w:p>
    <w:p w14:paraId="208C80A2" w14:textId="77777777" w:rsidR="0075254B" w:rsidRDefault="0075254B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</w:p>
    <w:p w14:paraId="416E4C68" w14:textId="77777777" w:rsidR="0075254B" w:rsidRDefault="0075254B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</w:p>
    <w:p w14:paraId="2E6F2705" w14:textId="77777777" w:rsidR="0075254B" w:rsidRDefault="0075254B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</w:p>
    <w:p w14:paraId="12A669A7" w14:textId="77777777" w:rsidR="0075254B" w:rsidRDefault="0075254B" w:rsidP="00696F98">
      <w:pPr>
        <w:pStyle w:val="paragraph"/>
        <w:widowControl w:val="0"/>
        <w:spacing w:beforeAutospacing="0" w:after="20" w:afterAutospacing="0"/>
        <w:rPr>
          <w:rFonts w:asciiTheme="minorHAnsi" w:eastAsiaTheme="minorEastAsia" w:hAnsiTheme="minorHAnsi" w:cstheme="minorBidi"/>
          <w:color w:val="0F9ED5" w:themeColor="accent4"/>
          <w:sz w:val="20"/>
          <w:szCs w:val="20"/>
        </w:rPr>
      </w:pPr>
    </w:p>
    <w:p w14:paraId="5511C3C5" w14:textId="0FAF3A0D" w:rsidR="00954B87" w:rsidRDefault="0075254B" w:rsidP="00712B48">
      <w:pPr>
        <w:widowControl w:val="0"/>
        <w:spacing w:after="20" w:line="257" w:lineRule="auto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052C563" wp14:editId="726D4646">
            <wp:extent cx="5760720" cy="3216036"/>
            <wp:effectExtent l="0" t="0" r="0" b="0"/>
            <wp:docPr id="1302563170" name="Bilde 1302563170" descr="Et bilde som inneholder tekst, klær, person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563170" name="Bilde 1302563170" descr="Et bilde som inneholder tekst, klær, person, skjermbilde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BF"/>
    <w:rsid w:val="000044E5"/>
    <w:rsid w:val="0003245C"/>
    <w:rsid w:val="00041B5D"/>
    <w:rsid w:val="000B0CD1"/>
    <w:rsid w:val="000C73E0"/>
    <w:rsid w:val="000E6A41"/>
    <w:rsid w:val="001020F0"/>
    <w:rsid w:val="001F1CAD"/>
    <w:rsid w:val="00213CD6"/>
    <w:rsid w:val="00226751"/>
    <w:rsid w:val="005C714D"/>
    <w:rsid w:val="005F18BF"/>
    <w:rsid w:val="005F6B1E"/>
    <w:rsid w:val="00696F98"/>
    <w:rsid w:val="00712B48"/>
    <w:rsid w:val="0075254B"/>
    <w:rsid w:val="0079052D"/>
    <w:rsid w:val="007B293E"/>
    <w:rsid w:val="0081293E"/>
    <w:rsid w:val="00822456"/>
    <w:rsid w:val="008E63EF"/>
    <w:rsid w:val="00932659"/>
    <w:rsid w:val="00954B87"/>
    <w:rsid w:val="00A043AB"/>
    <w:rsid w:val="00A47431"/>
    <w:rsid w:val="00AC4B4B"/>
    <w:rsid w:val="00AD25B8"/>
    <w:rsid w:val="00AF4A4C"/>
    <w:rsid w:val="00B87EFC"/>
    <w:rsid w:val="00CF26DA"/>
    <w:rsid w:val="00E15DAA"/>
    <w:rsid w:val="00E25D8C"/>
    <w:rsid w:val="00E6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62C8"/>
  <w15:docId w15:val="{ECE9160B-82D2-468F-A6CE-9A22E9E0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1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1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1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1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1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18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18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18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18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1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F1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1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18B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18B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F18B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F18B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F18B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F18B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F18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1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18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1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F18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F18B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F18B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F18B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1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18B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F18B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uiPriority w:val="1"/>
    <w:rsid w:val="00AC4B4B"/>
    <w:pPr>
      <w:spacing w:beforeAutospacing="1" w:afterAutospacing="1" w:line="259" w:lineRule="auto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AC4B4B"/>
  </w:style>
  <w:style w:type="character" w:customStyle="1" w:styleId="eop">
    <w:name w:val="eop"/>
    <w:basedOn w:val="Standardskriftforavsnitt"/>
    <w:rsid w:val="00AC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Tove Vang Abs</dc:creator>
  <cp:keywords/>
  <dc:description/>
  <cp:lastModifiedBy>Åge Kristoffersen</cp:lastModifiedBy>
  <cp:revision>2</cp:revision>
  <dcterms:created xsi:type="dcterms:W3CDTF">2024-04-22T14:15:00Z</dcterms:created>
  <dcterms:modified xsi:type="dcterms:W3CDTF">2024-04-22T14:15:00Z</dcterms:modified>
</cp:coreProperties>
</file>